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jc w:val="center"/>
        <w:rPr>
          <w:rFonts w:ascii="宋体" w:hAnsi="宋体" w:eastAsia="宋体"/>
          <w:b/>
          <w:bCs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</w:rPr>
        <w:t>病史摘要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姓名：曹</w:t>
      </w:r>
      <w:r>
        <w:rPr>
          <w:rFonts w:hint="eastAsia" w:ascii="宋体" w:hAnsi="宋体" w:eastAsia="宋体"/>
          <w:b/>
        </w:rPr>
        <w:t xml:space="preserve">× 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</w:rPr>
        <w:t xml:space="preserve">         </w:t>
      </w:r>
      <w:r>
        <w:rPr>
          <w:rFonts w:hint="eastAsia" w:ascii="宋体" w:hAnsi="宋体" w:eastAsia="宋体"/>
        </w:rPr>
        <w:t>社会</w:t>
      </w:r>
      <w:r>
        <w:rPr>
          <w:rFonts w:ascii="宋体" w:hAnsi="宋体" w:eastAsia="宋体"/>
        </w:rPr>
        <w:t>性别：女         年龄：11岁</w:t>
      </w:r>
      <w:r>
        <w:rPr>
          <w:rFonts w:hint="eastAsia" w:ascii="宋体" w:hAnsi="宋体" w:eastAsia="宋体"/>
        </w:rPr>
        <w:t>11月</w:t>
      </w:r>
      <w:r>
        <w:rPr>
          <w:rFonts w:ascii="宋体" w:hAnsi="宋体" w:eastAsia="宋体"/>
        </w:rPr>
        <w:t xml:space="preserve">       </w:t>
      </w:r>
      <w:r>
        <w:rPr>
          <w:rFonts w:hint="eastAsia" w:ascii="宋体" w:hAnsi="宋体" w:eastAsia="宋体"/>
        </w:rPr>
        <w:t>入院时间：2017年10月</w:t>
      </w:r>
    </w:p>
    <w:p>
      <w:pPr>
        <w:spacing w:line="360" w:lineRule="auto"/>
        <w:ind w:firstLine="42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代主诉：</w:t>
      </w:r>
      <w:r>
        <w:rPr>
          <w:rFonts w:hint="eastAsia" w:ascii="Times New Roman" w:hAnsi="宋体" w:eastAsia="宋体" w:cs="Times New Roman"/>
        </w:rPr>
        <w:t>发现外生殖器发育异常</w:t>
      </w:r>
      <w:r>
        <w:rPr>
          <w:rFonts w:hint="eastAsia" w:ascii="宋体" w:hAnsi="宋体" w:eastAsia="宋体"/>
        </w:rPr>
        <w:t>4年</w: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Cs/>
        </w:rPr>
      </w:pPr>
      <w:r>
        <w:rPr>
          <w:rFonts w:hint="eastAsia" w:ascii="宋体" w:hAnsi="宋体" w:eastAsia="宋体"/>
          <w:b/>
        </w:rPr>
        <w:t>现</w:t>
      </w:r>
      <w:r>
        <w:rPr>
          <w:rFonts w:ascii="Times New Roman" w:hAnsi="Times New Roman" w:eastAsia="宋体" w:cs="Times New Roman"/>
          <w:b/>
        </w:rPr>
        <w:t>病史：</w:t>
      </w:r>
      <w:r>
        <w:rPr>
          <w:rFonts w:ascii="Times New Roman" w:hAnsi="Times New Roman" w:eastAsia="宋体" w:cs="Times New Roman"/>
        </w:rPr>
        <w:t>4年前（患儿7岁11月）家属发现患儿外生殖器发育异常，</w:t>
      </w:r>
      <w:r>
        <w:rPr>
          <w:rFonts w:hint="eastAsia" w:ascii="Times New Roman" w:hAnsi="Times New Roman" w:eastAsia="宋体" w:cs="Times New Roman"/>
        </w:rPr>
        <w:t>阴蒂</w:t>
      </w:r>
      <w:r>
        <w:rPr>
          <w:rFonts w:ascii="Times New Roman" w:hAnsi="Times New Roman" w:eastAsia="宋体" w:cs="Times New Roman"/>
        </w:rPr>
        <w:t>似阴茎样改变，嗅觉、视力、听力正常，智力与同龄人相当，无</w:t>
      </w:r>
      <w:r>
        <w:rPr>
          <w:rFonts w:hint="eastAsia" w:ascii="Times New Roman" w:hAnsi="Times New Roman" w:eastAsia="宋体" w:cs="Times New Roman"/>
        </w:rPr>
        <w:t>色素沉着、乳房发育、排尿异常</w:t>
      </w:r>
      <w:r>
        <w:rPr>
          <w:rFonts w:ascii="Times New Roman" w:hAnsi="Times New Roman" w:eastAsia="宋体" w:cs="Times New Roman"/>
        </w:rPr>
        <w:t>，无颈蹼、肘外翻、肢体无力，至当地医院就诊，查子宫及附件彩超：盆腔内未见子宫，至我院妇科就诊，查外阴：阴蒂肥大，似阴茎样，无阴道，查</w:t>
      </w:r>
      <w:r>
        <w:rPr>
          <w:rFonts w:ascii="Times New Roman" w:hAnsi="Times New Roman" w:eastAsia="宋体" w:cs="Times New Roman"/>
          <w:bCs/>
        </w:rPr>
        <w:t>性激素6项：</w:t>
      </w:r>
    </w:p>
    <w:tbl>
      <w:tblPr>
        <w:tblStyle w:val="10"/>
        <w:tblW w:w="787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11"/>
        <w:gridCol w:w="1311"/>
        <w:gridCol w:w="1311"/>
        <w:gridCol w:w="1312"/>
        <w:gridCol w:w="13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FSH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mIU/mL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LH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mIU/mL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bCs/>
                <w:szCs w:val="21"/>
                <w:vertAlign w:val="subscript"/>
              </w:rPr>
              <w:t>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pg/mL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P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ng/mL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T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ng/mL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PRL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ng/mL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2.47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0.06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＜10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0.12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0.38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7.40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尿17羟类固醇 20.86μmol/d（19.2-28.2），尿17酮类固醇 12.40μmol/d（20.7-51.7），17α羟孕酮 0.16ng/ml（</w:t>
      </w:r>
      <w:r>
        <w:rPr>
          <w:rFonts w:hint="eastAsia" w:ascii="Times New Roman" w:hAnsi="Times New Roman" w:eastAsia="宋体" w:cs="Times New Roman"/>
        </w:rPr>
        <w:t>女</w:t>
      </w:r>
      <w:r>
        <w:rPr>
          <w:rFonts w:ascii="Times New Roman" w:hAnsi="Times New Roman" w:eastAsia="宋体" w:cs="Times New Roman"/>
        </w:rPr>
        <w:t>0.07-1.53），US：盆腔未见子宫及卵巢声像、未探及睾丸回声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US：双侧肾上腺区未见异常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染色体核型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</w:rPr>
        <w:t>46，XY</w:t>
      </w:r>
      <w:r>
        <w:rPr>
          <w:rFonts w:hint="eastAsia" w:ascii="Times New Roman" w:hAnsi="Times New Roman" w:eastAsia="宋体" w:cs="Times New Roman"/>
        </w:rPr>
        <w:t>，SRY基因检测：患儿携带男性性别决定基因</w:t>
      </w:r>
      <w:r>
        <w:rPr>
          <w:rFonts w:ascii="Times New Roman" w:hAnsi="Times New Roman" w:eastAsia="宋体" w:cs="Times New Roman"/>
        </w:rPr>
        <w:t>。门诊以“46，XY DSD”收入我科。发病以来，神志</w:t>
      </w:r>
      <w:r>
        <w:rPr>
          <w:rFonts w:hint="eastAsia" w:ascii="Times New Roman" w:hAnsi="Times New Roman" w:eastAsia="宋体" w:cs="Times New Roman"/>
        </w:rPr>
        <w:t>清</w:t>
      </w:r>
      <w:r>
        <w:rPr>
          <w:rFonts w:ascii="Times New Roman" w:hAnsi="Times New Roman" w:eastAsia="宋体" w:cs="Times New Roman"/>
        </w:rPr>
        <w:t>、精神可，食欲、睡眠正常，大小便正常，体重随年龄增加。</w: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既往史：</w:t>
      </w:r>
      <w:r>
        <w:rPr>
          <w:rFonts w:ascii="Times New Roman" w:hAnsi="Times New Roman" w:eastAsia="宋体" w:cs="Times New Roman"/>
        </w:rPr>
        <w:t>无特殊。</w: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color w:val="000000" w:themeColor="text1"/>
        </w:rPr>
        <w:t>生长发育史：</w:t>
      </w:r>
      <w:r>
        <w:rPr>
          <w:rFonts w:ascii="Times New Roman" w:hAnsi="Times New Roman" w:eastAsia="宋体" w:cs="Times New Roman"/>
          <w:color w:val="000000" w:themeColor="text1"/>
        </w:rPr>
        <w:t>母孕期无用药史。患儿足月顺产，出生</w:t>
      </w:r>
      <w:r>
        <w:rPr>
          <w:rFonts w:hint="eastAsia" w:ascii="Times New Roman" w:hAnsi="Times New Roman" w:eastAsia="宋体" w:cs="Times New Roman"/>
          <w:color w:val="000000" w:themeColor="text1"/>
        </w:rPr>
        <w:t>时</w:t>
      </w:r>
      <w:r>
        <w:rPr>
          <w:rFonts w:ascii="Times New Roman" w:hAnsi="Times New Roman" w:eastAsia="宋体" w:cs="Times New Roman"/>
          <w:color w:val="000000" w:themeColor="text1"/>
        </w:rPr>
        <w:t>无呼吸，皮肤苍白，Apgar评分不详，经抢救后好转。出生时身高体重不详。</w:t>
      </w:r>
      <w:r>
        <w:rPr>
          <w:rFonts w:ascii="Times New Roman" w:hAnsi="Times New Roman" w:eastAsia="宋体" w:cs="Times New Roman"/>
        </w:rPr>
        <w:t>生长速度与同龄人无异，现小学六年级，学习成绩中等。与同龄人相处愉快。</w: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家族史：</w:t>
      </w:r>
      <w:r>
        <w:rPr>
          <w:rFonts w:ascii="Times New Roman" w:hAnsi="Times New Roman" w:eastAsia="宋体" w:cs="Times New Roman"/>
          <w:bCs/>
        </w:rPr>
        <w:t>父母非近亲结婚，父</w:t>
      </w:r>
      <w:r>
        <w:rPr>
          <w:rFonts w:ascii="Times New Roman" w:hAnsi="Times New Roman" w:eastAsia="宋体" w:cs="Times New Roman"/>
        </w:rPr>
        <w:t>母及2兄体健，生长发育与同时代同龄人无异。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体  格  检  查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体温36.5℃         脉搏84次/分        呼吸21次/分        血压9</w:t>
      </w:r>
      <w:r>
        <w:rPr>
          <w:rFonts w:hint="eastAsia" w:ascii="Times New Roman" w:hAnsi="Times New Roman" w:eastAsia="宋体" w:cs="Times New Roman"/>
        </w:rPr>
        <w:t>8</w:t>
      </w:r>
      <w:r>
        <w:rPr>
          <w:rFonts w:ascii="Times New Roman" w:hAnsi="Times New Roman" w:eastAsia="宋体" w:cs="Times New Roman"/>
        </w:rPr>
        <w:t>/</w:t>
      </w:r>
      <w:r>
        <w:rPr>
          <w:rFonts w:hint="eastAsia" w:ascii="Times New Roman" w:hAnsi="Times New Roman" w:eastAsia="宋体" w:cs="Times New Roman"/>
        </w:rPr>
        <w:t>70</w:t>
      </w:r>
      <w:r>
        <w:rPr>
          <w:rFonts w:ascii="Times New Roman" w:hAnsi="Times New Roman" w:eastAsia="宋体" w:cs="Times New Roman"/>
        </w:rPr>
        <w:t>mmHg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身高157.3cm</w:t>
      </w:r>
      <w:r>
        <w:rPr>
          <w:rFonts w:hint="eastAsia" w:ascii="Times New Roman" w:hAnsi="Times New Roman" w:eastAsia="宋体" w:cs="Times New Roman"/>
        </w:rPr>
        <w:t xml:space="preserve">       </w:t>
      </w:r>
      <w:r>
        <w:rPr>
          <w:rFonts w:ascii="Times New Roman" w:hAnsi="Times New Roman" w:eastAsia="宋体" w:cs="Times New Roman"/>
        </w:rPr>
        <w:t>体重45.0</w:t>
      </w:r>
      <w:r>
        <w:rPr>
          <w:rFonts w:hint="eastAsia" w:ascii="Times New Roman" w:hAnsi="Times New Roman" w:eastAsia="宋体" w:cs="Times New Roman"/>
        </w:rPr>
        <w:t>k</w:t>
      </w:r>
      <w:r>
        <w:rPr>
          <w:rFonts w:ascii="Times New Roman" w:hAnsi="Times New Roman" w:eastAsia="宋体" w:cs="Times New Roman"/>
        </w:rPr>
        <w:t>g</w:t>
      </w:r>
      <w:r>
        <w:rPr>
          <w:rFonts w:hint="eastAsia" w:ascii="Times New Roman" w:hAnsi="Times New Roman" w:eastAsia="宋体" w:cs="Times New Roman"/>
        </w:rPr>
        <w:t xml:space="preserve">          </w:t>
      </w:r>
      <w:r>
        <w:rPr>
          <w:rFonts w:ascii="Times New Roman" w:hAnsi="Times New Roman" w:eastAsia="宋体" w:cs="Times New Roman"/>
        </w:rPr>
        <w:t>BMI 22.3kg/m</w:t>
      </w:r>
      <w:r>
        <w:rPr>
          <w:rFonts w:ascii="Times New Roman" w:hAnsi="Times New Roman" w:eastAsia="宋体" w:cs="Times New Roman"/>
          <w:vertAlign w:val="superscript"/>
        </w:rPr>
        <w:t xml:space="preserve">2 </w:t>
      </w:r>
      <w:r>
        <w:rPr>
          <w:rFonts w:ascii="Times New Roman" w:hAnsi="Times New Roman" w:eastAsia="宋体" w:cs="Times New Roman"/>
        </w:rPr>
        <w:t xml:space="preserve">     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（男：+1</w:t>
      </w:r>
      <w:r>
        <w:rPr>
          <w:rFonts w:ascii="Times New Roman" w:hAnsi="Times New Roman" w:eastAsia="宋体" w:cs="Times New Roman"/>
        </w:rPr>
        <w:t>~+2SD</w:t>
      </w:r>
      <w:r>
        <w:rPr>
          <w:rFonts w:hint="eastAsia" w:ascii="Times New Roman" w:hAnsi="Times New Roman" w:eastAsia="宋体" w:cs="Times New Roman"/>
        </w:rPr>
        <w:t>）  （男：</w:t>
      </w:r>
      <w:r>
        <w:rPr>
          <w:rFonts w:ascii="Times New Roman" w:hAnsi="Times New Roman" w:eastAsia="宋体" w:cs="Times New Roman"/>
        </w:rPr>
        <w:t>中位数~+1SD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 xml:space="preserve"> 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vertAlign w:val="superscript"/>
        </w:rPr>
      </w:pPr>
      <w:r>
        <w:rPr>
          <w:rFonts w:ascii="Times New Roman" w:hAnsi="Times New Roman" w:eastAsia="宋体" w:cs="Times New Roman"/>
        </w:rPr>
        <w:t xml:space="preserve">上部量80cm        下部量77cm </w:t>
      </w:r>
      <w:r>
        <w:rPr>
          <w:rFonts w:hint="eastAsia" w:ascii="Times New Roman" w:hAnsi="Times New Roman" w:eastAsia="宋体" w:cs="Times New Roman"/>
        </w:rPr>
        <w:t xml:space="preserve">        </w:t>
      </w:r>
      <w:r>
        <w:rPr>
          <w:rFonts w:ascii="Times New Roman" w:hAnsi="Times New Roman" w:eastAsia="宋体" w:cs="Times New Roman"/>
        </w:rPr>
        <w:t>指尖距150cm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皮肤粘膜无色素沉着，</w:t>
      </w:r>
      <w:r>
        <w:rPr>
          <w:rFonts w:ascii="Times New Roman" w:hAnsi="Times New Roman" w:eastAsia="宋体" w:cs="Times New Roman"/>
        </w:rPr>
        <w:t>未触及喉结。乳房无发育，无腋毛，外阴可见少量阴毛，阴毛Tanner2期，外生殖器似阴茎样，长约4cm，可见尿道开口于阴茎根部，有尿道下裂，未触及睾丸。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辅  助  检  查</w:t>
      </w:r>
    </w:p>
    <w:p>
      <w:pPr>
        <w:spacing w:line="300" w:lineRule="auto"/>
        <w:ind w:firstLine="422" w:firstLineChars="200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此次入院（11岁11月）：</w:t>
      </w:r>
    </w:p>
    <w:p>
      <w:pPr>
        <w:spacing w:line="300" w:lineRule="auto"/>
        <w:ind w:firstLine="422" w:firstLineChars="200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一般检查：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电解质：钾5.03mmol/L，钠134.0mmol/L</w:t>
      </w:r>
      <w:r>
        <w:rPr>
          <w:rFonts w:hint="eastAsia" w:ascii="Times New Roman" w:hAnsi="Times New Roman" w:eastAsia="宋体" w:cs="Times New Roman"/>
        </w:rPr>
        <w:t>（135-153）</w:t>
      </w:r>
      <w:r>
        <w:rPr>
          <w:rFonts w:ascii="Times New Roman" w:hAnsi="Times New Roman" w:eastAsia="宋体" w:cs="Times New Roman"/>
        </w:rPr>
        <w:t>，钙2.37mmol/L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血尿常规、肝肾功能、血脂、血糖、糖化、血凝、传染病筛查无异常</w:t>
      </w:r>
    </w:p>
    <w:p>
      <w:pPr>
        <w:spacing w:line="300" w:lineRule="auto"/>
        <w:ind w:firstLine="422" w:firstLineChars="200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内分泌相关检查：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color w:val="000000" w:themeColor="text1"/>
        </w:rPr>
      </w:pPr>
      <w:r>
        <w:rPr>
          <w:rFonts w:ascii="Times New Roman" w:hAnsi="Times New Roman" w:eastAsia="宋体" w:cs="Times New Roman"/>
          <w:color w:val="000000" w:themeColor="text1"/>
        </w:rPr>
        <w:t>ACTH-皮质醇节律：</w:t>
      </w:r>
    </w:p>
    <w:tbl>
      <w:tblPr>
        <w:tblStyle w:val="10"/>
        <w:tblW w:w="8440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110"/>
        <w:gridCol w:w="2110"/>
        <w:gridCol w:w="21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8AM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4PM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0AM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110" w:type="dxa"/>
            <w:tcBorders>
              <w:bottom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ACTH（pg/mL）</w:t>
            </w:r>
          </w:p>
        </w:tc>
        <w:tc>
          <w:tcPr>
            <w:tcW w:w="2110" w:type="dxa"/>
            <w:tcBorders>
              <w:bottom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15.10(7.0-61.1)</w:t>
            </w:r>
          </w:p>
        </w:tc>
        <w:tc>
          <w:tcPr>
            <w:tcW w:w="2110" w:type="dxa"/>
            <w:tcBorders>
              <w:bottom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14.30</w:t>
            </w:r>
          </w:p>
        </w:tc>
        <w:tc>
          <w:tcPr>
            <w:tcW w:w="2110" w:type="dxa"/>
            <w:tcBorders>
              <w:bottom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10.70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10" w:type="dxa"/>
            <w:tcBorders>
              <w:top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皮质醇（μg/dL）</w:t>
            </w:r>
          </w:p>
        </w:tc>
        <w:tc>
          <w:tcPr>
            <w:tcW w:w="2110" w:type="dxa"/>
            <w:tcBorders>
              <w:top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5.88(7-27)</w:t>
            </w:r>
          </w:p>
        </w:tc>
        <w:tc>
          <w:tcPr>
            <w:tcW w:w="2110" w:type="dxa"/>
            <w:tcBorders>
              <w:top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2.97</w:t>
            </w:r>
          </w:p>
        </w:tc>
        <w:tc>
          <w:tcPr>
            <w:tcW w:w="2110" w:type="dxa"/>
            <w:tcBorders>
              <w:top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2.15</w:t>
            </w:r>
          </w:p>
        </w:tc>
      </w:tr>
    </w:tbl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</w:rPr>
      </w:pPr>
      <w:r>
        <w:rPr>
          <w:rFonts w:ascii="Times New Roman" w:hAnsi="Times New Roman" w:eastAsia="宋体" w:cs="Times New Roman"/>
          <w:bCs/>
          <w:color w:val="000000" w:themeColor="text1"/>
        </w:rPr>
        <w:t>尿17羟类固醇 22.30μmol/d（19.2-28.2）</w:t>
      </w:r>
    </w:p>
    <w:p>
      <w:pPr>
        <w:spacing w:line="300" w:lineRule="auto"/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</w:rPr>
      </w:pPr>
      <w:r>
        <w:rPr>
          <w:rFonts w:ascii="Times New Roman" w:hAnsi="Times New Roman" w:eastAsia="宋体" w:cs="Times New Roman"/>
          <w:bCs/>
          <w:color w:val="000000" w:themeColor="text1"/>
        </w:rPr>
        <w:t>尿17酮类固醇43.10μmol/d（20.7-51.7），24h尿量1.25L</w:t>
      </w:r>
    </w:p>
    <w:p>
      <w:pPr>
        <w:spacing w:line="300" w:lineRule="auto"/>
        <w:rPr>
          <w:rFonts w:ascii="Times New Roman" w:hAnsi="Times New Roman" w:eastAsia="宋体" w:cs="Times New Roman"/>
          <w:color w:val="000000" w:themeColor="text1"/>
        </w:rPr>
      </w:pP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ascii="Times New Roman" w:hAnsi="Times New Roman" w:eastAsia="宋体" w:cs="Times New Roman"/>
          <w:color w:val="000000" w:themeColor="text1"/>
        </w:rPr>
        <w:t xml:space="preserve">  </w:t>
      </w:r>
      <w:r>
        <w:rPr>
          <w:rFonts w:ascii="Times New Roman" w:hAnsi="Times New Roman" w:eastAsia="宋体" w:cs="Times New Roman"/>
          <w:b/>
          <w:bCs/>
          <w:color w:val="000000" w:themeColor="text1"/>
        </w:rPr>
        <w:t>甲状腺功能：</w:t>
      </w:r>
      <w:r>
        <w:rPr>
          <w:rFonts w:ascii="Times New Roman" w:hAnsi="Times New Roman" w:eastAsia="宋体" w:cs="Times New Roman"/>
          <w:color w:val="000000" w:themeColor="text1"/>
        </w:rPr>
        <w:t>FT</w:t>
      </w:r>
      <w:r>
        <w:rPr>
          <w:rFonts w:ascii="Times New Roman" w:hAnsi="Times New Roman" w:eastAsia="宋体" w:cs="Times New Roman"/>
          <w:color w:val="000000" w:themeColor="text1"/>
          <w:vertAlign w:val="subscript"/>
        </w:rPr>
        <w:t>3</w:t>
      </w:r>
      <w:r>
        <w:rPr>
          <w:rFonts w:ascii="Times New Roman" w:hAnsi="Times New Roman" w:eastAsia="宋体" w:cs="Times New Roman"/>
          <w:color w:val="000000" w:themeColor="text1"/>
        </w:rPr>
        <w:t xml:space="preserve"> 5.42pmol/L(3.28-6.47)，FT</w:t>
      </w:r>
      <w:r>
        <w:rPr>
          <w:rFonts w:ascii="Times New Roman" w:hAnsi="Times New Roman" w:eastAsia="宋体" w:cs="Times New Roman"/>
          <w:color w:val="000000" w:themeColor="text1"/>
          <w:vertAlign w:val="subscript"/>
        </w:rPr>
        <w:t>4</w:t>
      </w:r>
      <w:r>
        <w:rPr>
          <w:rFonts w:ascii="Times New Roman" w:hAnsi="Times New Roman" w:eastAsia="宋体" w:cs="Times New Roman"/>
          <w:color w:val="000000" w:themeColor="text1"/>
        </w:rPr>
        <w:t xml:space="preserve"> 9.59pmol/L(7.9-18.4)，TSH 1.70μIU/mL(0.34-5.6)</w:t>
      </w:r>
    </w:p>
    <w:p>
      <w:pPr>
        <w:spacing w:line="300" w:lineRule="auto"/>
        <w:ind w:firstLine="422" w:firstLineChars="200"/>
        <w:rPr>
          <w:rFonts w:ascii="Times New Roman" w:hAnsi="Times New Roman" w:eastAsia="宋体" w:cs="Times New Roman"/>
          <w:color w:val="000000" w:themeColor="text1"/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</w:rPr>
        <w:t>生长激素：</w:t>
      </w:r>
      <w:r>
        <w:rPr>
          <w:rFonts w:ascii="Times New Roman" w:hAnsi="Times New Roman" w:eastAsia="宋体" w:cs="Times New Roman"/>
          <w:color w:val="000000" w:themeColor="text1"/>
        </w:rPr>
        <w:t>IGF-1 395.50ng/mL（111-551）， GH 0分 3.27ng/mL（0.06-5）</w:t>
      </w:r>
    </w:p>
    <w:p>
      <w:pPr>
        <w:spacing w:line="300" w:lineRule="auto"/>
        <w:ind w:firstLine="422" w:firstLineChars="200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性激素6项：</w:t>
      </w:r>
    </w:p>
    <w:tbl>
      <w:tblPr>
        <w:tblStyle w:val="10"/>
        <w:tblW w:w="8975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96"/>
        <w:gridCol w:w="1496"/>
        <w:gridCol w:w="1496"/>
        <w:gridCol w:w="1496"/>
        <w:gridCol w:w="149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95" w:type="dxa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FSH mIU/mL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男0.95-11.95</w:t>
            </w:r>
          </w:p>
        </w:tc>
        <w:tc>
          <w:tcPr>
            <w:tcW w:w="1496" w:type="dxa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LH mIU/mL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男1.14-8.75</w:t>
            </w:r>
          </w:p>
        </w:tc>
        <w:tc>
          <w:tcPr>
            <w:tcW w:w="1496" w:type="dxa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bCs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pg/mL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男＜11-44</w:t>
            </w:r>
          </w:p>
        </w:tc>
        <w:tc>
          <w:tcPr>
            <w:tcW w:w="1496" w:type="dxa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P ng/mL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男＜0.1-0.2</w:t>
            </w:r>
          </w:p>
        </w:tc>
        <w:tc>
          <w:tcPr>
            <w:tcW w:w="1496" w:type="dxa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T ng/mL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男1.42-9.23</w:t>
            </w:r>
          </w:p>
        </w:tc>
        <w:tc>
          <w:tcPr>
            <w:tcW w:w="1496" w:type="dxa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PRL ng/mL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男3.46-19.40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37.57</w:t>
            </w:r>
          </w:p>
        </w:tc>
        <w:tc>
          <w:tcPr>
            <w:tcW w:w="149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30.62</w:t>
            </w:r>
          </w:p>
        </w:tc>
        <w:tc>
          <w:tcPr>
            <w:tcW w:w="149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13.00</w:t>
            </w:r>
          </w:p>
        </w:tc>
        <w:tc>
          <w:tcPr>
            <w:tcW w:w="149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0.12</w:t>
            </w:r>
          </w:p>
        </w:tc>
        <w:tc>
          <w:tcPr>
            <w:tcW w:w="149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3.92</w:t>
            </w:r>
          </w:p>
        </w:tc>
        <w:tc>
          <w:tcPr>
            <w:tcW w:w="149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18.79</w:t>
            </w:r>
          </w:p>
        </w:tc>
      </w:tr>
    </w:tbl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color w:val="000000" w:themeColor="text1"/>
        </w:rPr>
        <w:t>DHEA_S 113.0μg/dL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</w:rPr>
        <w:t>35-430</w:t>
      </w:r>
      <w:r>
        <w:rPr>
          <w:rFonts w:ascii="Times New Roman" w:hAnsi="Times New Roman" w:eastAsia="宋体" w:cs="Times New Roman"/>
          <w:bCs/>
        </w:rPr>
        <w:t>），AND 1.59ng/ml（</w:t>
      </w:r>
      <w:r>
        <w:rPr>
          <w:rFonts w:ascii="Times New Roman" w:hAnsi="Times New Roman" w:eastAsia="宋体" w:cs="Times New Roman"/>
          <w:bCs/>
          <w:color w:val="000000" w:themeColor="text1"/>
        </w:rPr>
        <w:t>0.3-3.3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17α羟孕酮 1.63ng/ml（</w:t>
      </w:r>
      <w:r>
        <w:rPr>
          <w:rFonts w:hint="eastAsia" w:ascii="Times New Roman" w:hAnsi="Times New Roman" w:eastAsia="宋体" w:cs="Times New Roman"/>
          <w:bCs/>
          <w:lang w:val="en-US" w:eastAsia="zh-CN"/>
        </w:rPr>
        <w:t>男</w:t>
      </w:r>
      <w:r>
        <w:rPr>
          <w:rFonts w:ascii="Times New Roman" w:hAnsi="Times New Roman" w:eastAsia="宋体" w:cs="Times New Roman"/>
          <w:bCs/>
        </w:rPr>
        <w:t>0.</w:t>
      </w:r>
      <w:r>
        <w:rPr>
          <w:rFonts w:hint="eastAsia" w:ascii="Times New Roman" w:hAnsi="Times New Roman" w:eastAsia="宋体" w:cs="Times New Roman"/>
          <w:bCs/>
        </w:rPr>
        <w:t>61</w:t>
      </w:r>
      <w:r>
        <w:rPr>
          <w:rFonts w:ascii="Times New Roman" w:hAnsi="Times New Roman" w:eastAsia="宋体" w:cs="Times New Roman"/>
          <w:bCs/>
        </w:rPr>
        <w:t>-</w:t>
      </w:r>
      <w:r>
        <w:rPr>
          <w:rFonts w:hint="eastAsia" w:ascii="Times New Roman" w:hAnsi="Times New Roman" w:eastAsia="宋体" w:cs="Times New Roman"/>
          <w:bCs/>
        </w:rPr>
        <w:t>3.34</w:t>
      </w:r>
      <w:r>
        <w:rPr>
          <w:rFonts w:ascii="Times New Roman" w:hAnsi="Times New Roman" w:eastAsia="宋体" w:cs="Times New Roman"/>
          <w:bCs/>
        </w:rPr>
        <w:t>），SHBG 36.00nmol/L（18-114）</w:t>
      </w:r>
    </w:p>
    <w:p>
      <w:pPr>
        <w:spacing w:line="300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</w:rPr>
        <w:t>HCG激发试验：</w:t>
      </w:r>
    </w:p>
    <w:tbl>
      <w:tblPr>
        <w:tblStyle w:val="10"/>
        <w:tblW w:w="8458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91"/>
        <w:gridCol w:w="1692"/>
        <w:gridCol w:w="1692"/>
        <w:gridCol w:w="16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9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bCs/>
                <w:color w:val="000000" w:themeColor="text1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</w:rPr>
              <w:t>0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</w:rPr>
              <w:t>24h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</w:rPr>
              <w:t>48h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</w:rPr>
              <w:t>72h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</w:rPr>
              <w:t>T ng/mL</w:t>
            </w:r>
          </w:p>
          <w:p>
            <w:pPr>
              <w:spacing w:line="300" w:lineRule="auto"/>
              <w:rPr>
                <w:rFonts w:ascii="Times New Roman" w:hAnsi="Times New Roman" w:eastAsia="宋体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</w:rPr>
              <w:t>参考值</w:t>
            </w:r>
            <w:r>
              <w:rPr>
                <w:rFonts w:ascii="Times New Roman" w:hAnsi="Times New Roman" w:eastAsia="宋体" w:cs="Times New Roman"/>
                <w:bCs/>
              </w:rPr>
              <w:t>1.42-9.23</w:t>
            </w:r>
          </w:p>
        </w:tc>
        <w:tc>
          <w:tcPr>
            <w:tcW w:w="169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</w:rPr>
              <w:t>3.92</w:t>
            </w:r>
          </w:p>
        </w:tc>
        <w:tc>
          <w:tcPr>
            <w:tcW w:w="169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</w:rPr>
              <w:t>3.96</w:t>
            </w:r>
          </w:p>
        </w:tc>
        <w:tc>
          <w:tcPr>
            <w:tcW w:w="169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</w:rPr>
              <w:t>3.97</w:t>
            </w:r>
          </w:p>
        </w:tc>
        <w:tc>
          <w:tcPr>
            <w:tcW w:w="169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</w:rPr>
              <w:t>3.95</w:t>
            </w:r>
          </w:p>
        </w:tc>
      </w:tr>
    </w:tbl>
    <w:p>
      <w:pPr>
        <w:spacing w:line="300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</w:rPr>
        <w:t>检查项目：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color w:val="000000" w:themeColor="text1"/>
        </w:rPr>
      </w:pPr>
      <w:r>
        <w:rPr>
          <w:rFonts w:ascii="Times New Roman" w:hAnsi="Times New Roman" w:eastAsia="宋体" w:cs="Times New Roman"/>
          <w:color w:val="000000" w:themeColor="text1"/>
        </w:rPr>
        <w:t>ECG：正常范围心电图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color w:val="000000" w:themeColor="text1"/>
        </w:rPr>
      </w:pPr>
      <w:r>
        <w:rPr>
          <w:rFonts w:ascii="Times New Roman" w:hAnsi="Times New Roman" w:eastAsia="宋体" w:cs="Times New Roman"/>
          <w:color w:val="000000" w:themeColor="text1"/>
        </w:rPr>
        <w:t>DR：心肺膈未见异常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骨龄片：约符合</w:t>
      </w:r>
      <w:r>
        <w:rPr>
          <w:rFonts w:hint="eastAsia" w:ascii="Times New Roman" w:hAnsi="Times New Roman" w:eastAsia="宋体" w:cs="Times New Roman"/>
        </w:rPr>
        <w:t>男</w:t>
      </w:r>
      <w:r>
        <w:rPr>
          <w:rFonts w:ascii="Times New Roman" w:hAnsi="Times New Roman" w:eastAsia="宋体" w:cs="Times New Roman"/>
        </w:rPr>
        <w:t>孩1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岁骨龄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color w:val="000000" w:themeColor="text1"/>
        </w:rPr>
      </w:pPr>
      <w:r>
        <w:rPr>
          <w:rFonts w:ascii="Times New Roman" w:hAnsi="Times New Roman" w:eastAsia="宋体" w:cs="Times New Roman"/>
          <w:color w:val="000000" w:themeColor="text1"/>
        </w:rPr>
        <w:t>CT：双侧肾上腺、双肾SCT平扫未见异常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color w:val="000000" w:themeColor="text1"/>
        </w:rPr>
      </w:pPr>
      <w:r>
        <w:rPr>
          <w:rFonts w:ascii="Times New Roman" w:hAnsi="Times New Roman" w:eastAsia="宋体" w:cs="Times New Roman"/>
          <w:color w:val="000000" w:themeColor="text1"/>
        </w:rPr>
        <w:t>US：心脏、腹部、泌尿系彩超未见异常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color w:val="000000" w:themeColor="text1"/>
        </w:rPr>
      </w:pPr>
      <w:r>
        <w:rPr>
          <w:rFonts w:ascii="Times New Roman" w:hAnsi="Times New Roman" w:eastAsia="宋体" w:cs="Times New Roman"/>
          <w:color w:val="000000" w:themeColor="text1"/>
        </w:rPr>
        <w:t>经腹生殖器US：左侧腹股沟区可见睾丸回声（考虑隐睾），右侧睾丸未探及，盆腔膀胱后方低回声并其左侧条状囊性回声（阴道闭锁？）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color w:val="000000" w:themeColor="text1"/>
        </w:rPr>
      </w:pPr>
      <w:r>
        <w:rPr>
          <w:rFonts w:ascii="Times New Roman" w:hAnsi="Times New Roman" w:eastAsia="宋体" w:cs="Times New Roman"/>
          <w:color w:val="000000" w:themeColor="text1"/>
        </w:rPr>
        <w:t>经直肠生殖器US：于双侧腹股沟均可探及类睾丸回声，左侧大小约19 mm×15 mm×9 mm，右侧大小约22mm× 13mm ×10mm，内回声均匀，可及点状血流信号。盆腔膀胱后方可见范围约22mm×14mm低回声，其左侧可见范围约49mm×8mm条状囊性回声，边界清，内透声好。盆腔内未探及典型前列腺回声。双侧腹股沟均可及一高回声包块，边界清，与腹腔相通，可见肠管蠕动，加压后此团块可还纳于腹腔内，可及血流信号。并可及范围约23mm×7mm的液性暗区。提示：双侧隐睾并睾丸体积小，盆腔内低回声并异常囊性回声（阴道闭锁可能性大），双侧腹股沟斜疝，左侧鞘膜腔积液（交通型）</w:t>
      </w:r>
    </w:p>
    <w:p>
      <w:pPr>
        <w:spacing w:line="300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目前诊断：</w:t>
      </w:r>
      <w:r>
        <w:rPr>
          <w:rFonts w:hint="eastAsia" w:ascii="Times New Roman" w:hAnsi="Times New Roman" w:eastAsia="宋体" w:cs="Times New Roman"/>
        </w:rPr>
        <w:t xml:space="preserve">1. </w:t>
      </w:r>
      <w:r>
        <w:rPr>
          <w:rFonts w:ascii="Times New Roman" w:hAnsi="Times New Roman" w:eastAsia="宋体" w:cs="Times New Roman"/>
        </w:rPr>
        <w:t>46，XY DSD</w:t>
      </w:r>
      <w:r>
        <w:rPr>
          <w:rFonts w:hint="eastAsia" w:ascii="Times New Roman" w:hAnsi="Times New Roman" w:eastAsia="宋体" w:cs="Times New Roman"/>
        </w:rPr>
        <w:t xml:space="preserve">  2.双侧腹股沟斜疝</w:t>
      </w:r>
    </w:p>
    <w:p>
      <w:pPr>
        <w:spacing w:line="300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问题：</w:t>
      </w:r>
      <w:r>
        <w:rPr>
          <w:rFonts w:ascii="Times New Roman" w:hAnsi="Times New Roman" w:eastAsia="宋体" w:cs="Times New Roman"/>
        </w:rPr>
        <w:t>1.什么因素影响了男性表型的形成？</w:t>
      </w:r>
    </w:p>
    <w:p>
      <w:pPr>
        <w:spacing w:line="300" w:lineRule="auto"/>
        <w:ind w:firstLine="1050" w:firstLineChars="5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2.可能诊断是什么？</w:t>
      </w:r>
    </w:p>
    <w:p>
      <w:pPr>
        <w:spacing w:line="276" w:lineRule="auto"/>
        <w:ind w:firstLine="1050" w:firstLineChars="5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3.如何治疗？</w:t>
      </w:r>
    </w:p>
    <w:sectPr>
      <w:footerReference r:id="rId3" w:type="default"/>
      <w:pgSz w:w="11906" w:h="16838"/>
      <w:pgMar w:top="1247" w:right="1310" w:bottom="1247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表 1 浅色 - 着色 11"/>
    <w:basedOn w:val="9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网格型浅色1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无格式表格 41"/>
    <w:basedOn w:val="9"/>
    <w:qFormat/>
    <w:uiPriority w:val="44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4">
    <w:name w:val="无格式表格 21"/>
    <w:basedOn w:val="9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15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7">
    <w:name w:val="批注文字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2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1895</Characters>
  <Lines>15</Lines>
  <Paragraphs>4</Paragraphs>
  <TotalTime>0</TotalTime>
  <ScaleCrop>false</ScaleCrop>
  <LinksUpToDate>false</LinksUpToDate>
  <CharactersWithSpaces>2223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2021-09-07T16:49:00Z</dcterms:created>
  <dc:creator>Administrator</dc:creator>
  <cp:lastModifiedBy>xiaoxiaoqiqi</cp:lastModifiedBy>
  <dcterms:modified xsi:type="dcterms:W3CDTF">2021-12-13T08:05:23Z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2052-11.17.1</vt:lpwstr>
  </property>
  <property fmtid="{D5CDD505-2E9C-101B-9397-08002B2CF9AE}" pid="3" name="ICV">
    <vt:lpwstr>FE022A8941F968CE438EB6614632E204</vt:lpwstr>
  </property>
</Properties>
</file>